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R4-2108771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Timing Assumption for Inter-Cell DL Measurement</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9.18.2</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 xml:space="preserve">In RAN4 98-e, the following LS was sent from RAN1 to RAN4 [1], the content copied below: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napToGrid w:val="0"/>
              <w:jc w:val="both"/>
              <w:rPr>
                <w:sz w:val="22"/>
              </w:rPr>
            </w:pPr>
            <w:r>
              <w:rPr>
                <w:sz w:val="22"/>
              </w:rPr>
              <w:t xml:space="preserve">RAN1 has agreed to support L1-RSRP reporting (and its respective measurement) associated with non-serving cell. Pertinent to this aspect, the following agreements have been made. </w:t>
            </w:r>
          </w:p>
          <w:p>
            <w:pPr>
              <w:snapToGrid w:val="0"/>
              <w:jc w:val="both"/>
              <w:rPr>
                <w:sz w:val="22"/>
              </w:rPr>
            </w:pPr>
          </w:p>
          <w:p>
            <w:pPr>
              <w:snapToGrid w:val="0"/>
              <w:jc w:val="both"/>
              <w:rPr>
                <w:b/>
              </w:rPr>
            </w:pPr>
            <w:r>
              <w:rPr>
                <w:b/>
                <w:highlight w:val="green"/>
              </w:rPr>
              <w:t>Agreement</w:t>
            </w:r>
          </w:p>
          <w:p>
            <w:pPr>
              <w:snapToGrid w:val="0"/>
              <w:rPr>
                <w:rFonts w:eastAsia="Batang"/>
              </w:rPr>
            </w:pPr>
            <w:r>
              <w:t xml:space="preserve">On Rel.17 multi beam measurement/reporting enhancements </w:t>
            </w:r>
            <w:r>
              <w:rPr>
                <w:color w:val="000000"/>
              </w:rPr>
              <w:t>for L1/L2-centric inter-cell mobility and inter-cell mTRP</w:t>
            </w:r>
            <w:r>
              <w:rPr>
                <w:rFonts w:eastAsia="Batang"/>
              </w:rPr>
              <w:t>:</w:t>
            </w:r>
          </w:p>
          <w:p>
            <w:pPr>
              <w:pStyle w:val="26"/>
              <w:numPr>
                <w:ilvl w:val="0"/>
                <w:numId w:val="6"/>
              </w:numPr>
              <w:snapToGrid w:val="0"/>
              <w:contextualSpacing w:val="0"/>
              <w:rPr>
                <w:sz w:val="20"/>
                <w:szCs w:val="20"/>
              </w:rPr>
            </w:pPr>
            <w:r>
              <w:rPr>
                <w:sz w:val="20"/>
                <w:szCs w:val="20"/>
              </w:rPr>
              <w:t>Rel.15 L1-RSRP is used as reporting quantity for measurement and reporting of non-serving-cell(s)</w:t>
            </w:r>
          </w:p>
          <w:p>
            <w:pPr>
              <w:pStyle w:val="26"/>
              <w:numPr>
                <w:ilvl w:val="1"/>
                <w:numId w:val="6"/>
              </w:numPr>
              <w:snapToGrid w:val="0"/>
              <w:contextualSpacing w:val="0"/>
              <w:rPr>
                <w:sz w:val="20"/>
                <w:szCs w:val="20"/>
              </w:rPr>
            </w:pPr>
            <w:r>
              <w:rPr>
                <w:sz w:val="20"/>
                <w:szCs w:val="20"/>
              </w:rPr>
              <w:t xml:space="preserve">Support SSB as a measurement RS for </w:t>
            </w:r>
            <w:r>
              <w:rPr>
                <w:color w:val="000000"/>
                <w:sz w:val="20"/>
                <w:szCs w:val="20"/>
              </w:rPr>
              <w:t xml:space="preserve">L1/L2-centric inter-cell mobility </w:t>
            </w:r>
            <w:r>
              <w:rPr>
                <w:sz w:val="20"/>
                <w:szCs w:val="20"/>
              </w:rPr>
              <w:t>and inter-cell mTRP, and Rel.15 SS-RSRP calculated from SSB of non-serving cell(s)</w:t>
            </w:r>
          </w:p>
          <w:p>
            <w:pPr>
              <w:pStyle w:val="26"/>
              <w:numPr>
                <w:ilvl w:val="2"/>
                <w:numId w:val="6"/>
              </w:numPr>
              <w:snapToGrid w:val="0"/>
              <w:contextualSpacing w:val="0"/>
              <w:rPr>
                <w:sz w:val="20"/>
                <w:szCs w:val="20"/>
              </w:rPr>
            </w:pPr>
            <w:r>
              <w:rPr>
                <w:bCs/>
                <w:sz w:val="20"/>
                <w:szCs w:val="20"/>
              </w:rPr>
              <w:t>FFS: Whether the measurement for SS-RSRP is limited within SMTC</w:t>
            </w:r>
          </w:p>
          <w:p>
            <w:pPr>
              <w:pStyle w:val="26"/>
              <w:numPr>
                <w:ilvl w:val="2"/>
                <w:numId w:val="6"/>
              </w:numPr>
              <w:snapToGrid w:val="0"/>
              <w:contextualSpacing w:val="0"/>
              <w:rPr>
                <w:sz w:val="20"/>
                <w:szCs w:val="20"/>
              </w:rPr>
            </w:pPr>
            <w:r>
              <w:rPr>
                <w:rFonts w:eastAsia="Malgun Gothic"/>
                <w:sz w:val="20"/>
                <w:szCs w:val="20"/>
              </w:rPr>
              <w:t>FFS: Detailed reporting method, e.g. via including existing L1-RSRP report, UE-initiated report etc.</w:t>
            </w:r>
          </w:p>
          <w:p>
            <w:pPr>
              <w:pStyle w:val="26"/>
              <w:numPr>
                <w:ilvl w:val="1"/>
                <w:numId w:val="6"/>
              </w:numPr>
              <w:snapToGrid w:val="0"/>
              <w:contextualSpacing w:val="0"/>
              <w:rPr>
                <w:sz w:val="20"/>
                <w:szCs w:val="20"/>
              </w:rPr>
            </w:pPr>
            <w:r>
              <w:rPr>
                <w:sz w:val="20"/>
                <w:szCs w:val="20"/>
              </w:rPr>
              <w:t xml:space="preserve">FFS: Whether or not to support CSI-RS (for e.g. mobility and/or tracking) of non-serving cell(s) as a measurement RS for </w:t>
            </w:r>
            <w:r>
              <w:rPr>
                <w:color w:val="000000"/>
                <w:sz w:val="20"/>
                <w:szCs w:val="20"/>
              </w:rPr>
              <w:t xml:space="preserve">L1/L2-centric inter-cell mobility </w:t>
            </w:r>
            <w:r>
              <w:rPr>
                <w:sz w:val="20"/>
                <w:szCs w:val="20"/>
              </w:rPr>
              <w:t xml:space="preserve">and inter-cell mTRP. If the support of CSI-RS (for e.g. mobility and/or tracking) of non-serving cell(s) as a measurement RS for </w:t>
            </w:r>
            <w:r>
              <w:rPr>
                <w:color w:val="000000"/>
                <w:sz w:val="20"/>
                <w:szCs w:val="20"/>
              </w:rPr>
              <w:t xml:space="preserve">L1/L2-centric inter-cell mobility </w:t>
            </w:r>
            <w:r>
              <w:rPr>
                <w:sz w:val="20"/>
                <w:szCs w:val="20"/>
              </w:rPr>
              <w:t xml:space="preserve">and inter-cell mTRP is confirmed, Rel.15 CSI-RSRP is also supported  </w:t>
            </w:r>
          </w:p>
          <w:p>
            <w:pPr>
              <w:pStyle w:val="26"/>
              <w:numPr>
                <w:ilvl w:val="2"/>
                <w:numId w:val="6"/>
              </w:numPr>
              <w:snapToGrid w:val="0"/>
              <w:contextualSpacing w:val="0"/>
              <w:rPr>
                <w:sz w:val="20"/>
                <w:szCs w:val="20"/>
              </w:rPr>
            </w:pPr>
            <w:r>
              <w:rPr>
                <w:sz w:val="20"/>
                <w:szCs w:val="20"/>
              </w:rPr>
              <w:t>Whether the support applies to CSI-RS with or without QCL source, or both</w:t>
            </w:r>
          </w:p>
          <w:p>
            <w:pPr>
              <w:pStyle w:val="26"/>
              <w:numPr>
                <w:ilvl w:val="1"/>
                <w:numId w:val="6"/>
              </w:numPr>
              <w:snapToGrid w:val="0"/>
              <w:contextualSpacing w:val="0"/>
              <w:rPr>
                <w:sz w:val="20"/>
                <w:szCs w:val="20"/>
              </w:rPr>
            </w:pPr>
            <w:r>
              <w:rPr>
                <w:sz w:val="20"/>
                <w:szCs w:val="20"/>
              </w:rPr>
              <w:t xml:space="preserve">FFS: The number of non-serving cell(s) for measurement/reporting </w:t>
            </w:r>
          </w:p>
          <w:p>
            <w:pPr>
              <w:pStyle w:val="26"/>
              <w:numPr>
                <w:ilvl w:val="1"/>
                <w:numId w:val="6"/>
              </w:numPr>
              <w:snapToGrid w:val="0"/>
              <w:contextualSpacing w:val="0"/>
              <w:rPr>
                <w:sz w:val="20"/>
                <w:szCs w:val="20"/>
              </w:rPr>
            </w:pPr>
            <w:r>
              <w:rPr>
                <w:sz w:val="20"/>
                <w:szCs w:val="20"/>
              </w:rPr>
              <w:t>FFS: time behavior of the reporting, i.e. periodic, semi-persistent, aperiodic, or UE-initiated</w:t>
            </w:r>
          </w:p>
          <w:p>
            <w:pPr>
              <w:pStyle w:val="26"/>
              <w:numPr>
                <w:ilvl w:val="0"/>
                <w:numId w:val="6"/>
              </w:numPr>
              <w:snapToGrid w:val="0"/>
              <w:contextualSpacing w:val="0"/>
              <w:rPr>
                <w:sz w:val="20"/>
                <w:szCs w:val="20"/>
              </w:rPr>
            </w:pPr>
            <w:r>
              <w:rPr>
                <w:sz w:val="20"/>
                <w:szCs w:val="20"/>
              </w:rPr>
              <w:t>FFS: If other reporting quantities are supported, e.g. L3-RSRP, hybrid L1/L3-RSRP</w:t>
            </w:r>
          </w:p>
          <w:p>
            <w:pPr>
              <w:pStyle w:val="26"/>
              <w:numPr>
                <w:ilvl w:val="0"/>
                <w:numId w:val="6"/>
              </w:numPr>
              <w:snapToGrid w:val="0"/>
              <w:contextualSpacing w:val="0"/>
              <w:rPr>
                <w:sz w:val="20"/>
                <w:szCs w:val="20"/>
              </w:rPr>
            </w:pPr>
            <w:r>
              <w:rPr>
                <w:bCs/>
                <w:sz w:val="20"/>
                <w:szCs w:val="20"/>
              </w:rPr>
              <w:t>FFS: Dynamic activation/deactivation/selection of the beam measurement on the RS(s) associated with non-serving cell(s) via MAC CE</w:t>
            </w:r>
          </w:p>
          <w:p>
            <w:pPr>
              <w:pStyle w:val="26"/>
              <w:numPr>
                <w:ilvl w:val="0"/>
                <w:numId w:val="6"/>
              </w:numPr>
              <w:snapToGrid w:val="0"/>
              <w:contextualSpacing w:val="0"/>
              <w:rPr>
                <w:sz w:val="20"/>
                <w:szCs w:val="20"/>
              </w:rPr>
            </w:pPr>
            <w:r>
              <w:rPr>
                <w:bCs/>
                <w:sz w:val="20"/>
                <w:szCs w:val="20"/>
              </w:rPr>
              <w:t xml:space="preserve">FFS: Timing assumption </w:t>
            </w:r>
            <w:r>
              <w:rPr>
                <w:sz w:val="20"/>
                <w:szCs w:val="20"/>
                <w:lang w:eastAsia="zh-CN"/>
              </w:rPr>
              <w:t>(e.g. time of arrival and time of the measurement)</w:t>
            </w:r>
            <w:r>
              <w:rPr>
                <w:bCs/>
                <w:sz w:val="20"/>
                <w:szCs w:val="20"/>
              </w:rPr>
              <w:t xml:space="preserve"> for measurement of non-serving cell RS measurement</w:t>
            </w:r>
          </w:p>
          <w:p>
            <w:pPr>
              <w:snapToGrid w:val="0"/>
              <w:jc w:val="both"/>
              <w:rPr>
                <w:sz w:val="22"/>
                <w:lang w:val="zh-CN"/>
              </w:rPr>
            </w:pPr>
          </w:p>
          <w:p>
            <w:pPr>
              <w:snapToGrid w:val="0"/>
              <w:jc w:val="both"/>
              <w:rPr>
                <w:b/>
              </w:rPr>
            </w:pPr>
            <w:r>
              <w:rPr>
                <w:b/>
                <w:highlight w:val="green"/>
              </w:rPr>
              <w:t>Agreement</w:t>
            </w:r>
          </w:p>
          <w:p>
            <w:pPr>
              <w:snapToGrid w:val="0"/>
              <w:rPr>
                <w:rFonts w:eastAsia="Batang"/>
                <w:szCs w:val="24"/>
              </w:rPr>
            </w:pPr>
            <w:r>
              <w:rPr>
                <w:rFonts w:eastAsia="Batang"/>
                <w:szCs w:val="24"/>
              </w:rPr>
              <w:t xml:space="preserve">On Rel.17 multi-beam measurement/reporting enhancements </w:t>
            </w:r>
            <w:r>
              <w:rPr>
                <w:rFonts w:eastAsia="Batang"/>
                <w:color w:val="000000"/>
                <w:szCs w:val="24"/>
              </w:rPr>
              <w:t>for L1/L2-centric inter-cell mobility and inter-cell mTRP</w:t>
            </w:r>
            <w:r>
              <w:rPr>
                <w:rFonts w:eastAsia="Batang"/>
                <w:szCs w:val="24"/>
              </w:rPr>
              <w:t xml:space="preserve">, </w:t>
            </w:r>
          </w:p>
          <w:p>
            <w:pPr>
              <w:numPr>
                <w:ilvl w:val="0"/>
                <w:numId w:val="7"/>
              </w:numPr>
              <w:autoSpaceDN w:val="0"/>
              <w:snapToGrid w:val="0"/>
              <w:jc w:val="both"/>
              <w:rPr>
                <w:rFonts w:eastAsia="Batang"/>
                <w:szCs w:val="24"/>
              </w:rPr>
            </w:pPr>
            <w:r>
              <w:rPr>
                <w:rFonts w:eastAsia="Batang"/>
                <w:szCs w:val="24"/>
              </w:rPr>
              <w:t xml:space="preserve">In one reporting instance, depending on NW configuration, beam(s) associated with a non-serving cell can be mixed with that associated with serving-cell </w:t>
            </w:r>
          </w:p>
          <w:p>
            <w:pPr>
              <w:numPr>
                <w:ilvl w:val="1"/>
                <w:numId w:val="7"/>
              </w:numPr>
              <w:autoSpaceDN w:val="0"/>
              <w:snapToGrid w:val="0"/>
              <w:jc w:val="both"/>
              <w:rPr>
                <w:rFonts w:eastAsia="Batang"/>
                <w:szCs w:val="24"/>
              </w:rPr>
            </w:pPr>
            <w:r>
              <w:rPr>
                <w:rFonts w:eastAsia="Batang"/>
                <w:szCs w:val="24"/>
              </w:rPr>
              <w:t>FFS: whether this applies to periodic, semi-persistent, and/or aperiodic</w:t>
            </w:r>
          </w:p>
          <w:p>
            <w:pPr>
              <w:numPr>
                <w:ilvl w:val="1"/>
                <w:numId w:val="7"/>
              </w:numPr>
              <w:autoSpaceDN w:val="0"/>
              <w:snapToGrid w:val="0"/>
              <w:jc w:val="both"/>
              <w:rPr>
                <w:rFonts w:eastAsia="Batang"/>
                <w:szCs w:val="24"/>
              </w:rPr>
            </w:pPr>
            <w:r>
              <w:rPr>
                <w:rFonts w:eastAsia="等线"/>
                <w:bCs/>
                <w:szCs w:val="24"/>
              </w:rPr>
              <w:t>FFS: How to report the K beams and corresponding qualities if the Tx power among the non-serving cell and with serving-cell is not the same</w:t>
            </w:r>
          </w:p>
          <w:p>
            <w:pPr>
              <w:numPr>
                <w:ilvl w:val="1"/>
                <w:numId w:val="7"/>
              </w:numPr>
              <w:autoSpaceDN w:val="0"/>
              <w:snapToGrid w:val="0"/>
              <w:jc w:val="both"/>
              <w:rPr>
                <w:sz w:val="24"/>
                <w:szCs w:val="22"/>
                <w:lang w:val="zh-CN"/>
              </w:rPr>
            </w:pPr>
            <w:r>
              <w:rPr>
                <w:rFonts w:eastAsia="等线"/>
                <w:bCs/>
                <w:szCs w:val="24"/>
              </w:rPr>
              <w:t>Note: The supported numbers of non-serving cells (in terms of measurement/reporting) have not yet been decided. The above description doesn’t imply only one non-serving cell is allowed to be configured for measurement. Nor does this imply that only one non-serving cell is allowed in one reporting instance.</w:t>
            </w:r>
          </w:p>
          <w:p>
            <w:pPr>
              <w:snapToGrid w:val="0"/>
              <w:jc w:val="both"/>
              <w:rPr>
                <w:sz w:val="22"/>
                <w:szCs w:val="22"/>
                <w:lang w:eastAsia="zh-CN"/>
              </w:rPr>
            </w:pPr>
            <w:r>
              <w:rPr>
                <w:sz w:val="22"/>
                <w:szCs w:val="22"/>
                <w:lang w:eastAsia="zh-CN"/>
              </w:rPr>
              <w:t>For the aforementioned purpose, RAN1 seeks a few answers from RAN4 on the following questions (in the context of L1/L2-centric inter-cell mobility) in order to proceed further. Note that thus far (cf. R1-2102008, R1-2102248):</w:t>
            </w:r>
          </w:p>
          <w:p>
            <w:pPr>
              <w:pStyle w:val="26"/>
              <w:numPr>
                <w:ilvl w:val="0"/>
                <w:numId w:val="8"/>
              </w:numPr>
              <w:snapToGrid w:val="0"/>
              <w:jc w:val="both"/>
              <w:rPr>
                <w:sz w:val="22"/>
                <w:szCs w:val="22"/>
              </w:rPr>
            </w:pPr>
            <w:r>
              <w:rPr>
                <w:sz w:val="22"/>
                <w:szCs w:val="22"/>
                <w:lang w:eastAsia="zh-CN"/>
              </w:rPr>
              <w:t xml:space="preserve">Only SSB has been agreed to be used for non-serving cell measurement RS. CSI-RS is still </w:t>
            </w:r>
            <w:r>
              <w:rPr>
                <w:sz w:val="22"/>
                <w:szCs w:val="22"/>
                <w:lang w:val="en-US" w:eastAsia="zh-CN"/>
              </w:rPr>
              <w:t>TBD</w:t>
            </w:r>
          </w:p>
          <w:p>
            <w:pPr>
              <w:pStyle w:val="26"/>
              <w:numPr>
                <w:ilvl w:val="0"/>
                <w:numId w:val="8"/>
              </w:numPr>
              <w:snapToGrid w:val="0"/>
              <w:jc w:val="both"/>
              <w:rPr>
                <w:sz w:val="22"/>
                <w:szCs w:val="22"/>
              </w:rPr>
            </w:pPr>
            <w:r>
              <w:rPr>
                <w:sz w:val="22"/>
                <w:szCs w:val="22"/>
                <w:lang w:val="en-US" w:eastAsia="zh-CN"/>
              </w:rPr>
              <w:t>Only intra-frequency measurement has been agreed and inter-frequency measurement is still TBD</w:t>
            </w:r>
          </w:p>
          <w:p>
            <w:pPr>
              <w:snapToGrid w:val="0"/>
              <w:jc w:val="both"/>
              <w:rPr>
                <w:sz w:val="22"/>
                <w:szCs w:val="22"/>
                <w:lang w:val="en-US"/>
              </w:rPr>
            </w:pPr>
            <w:r>
              <w:rPr>
                <w:b/>
                <w:bCs/>
                <w:sz w:val="22"/>
                <w:szCs w:val="22"/>
                <w:lang w:eastAsia="zh-CN"/>
              </w:rPr>
              <w:t>Question 1</w:t>
            </w:r>
            <w:r>
              <w:rPr>
                <w:sz w:val="22"/>
                <w:szCs w:val="22"/>
                <w:lang w:eastAsia="zh-CN"/>
              </w:rPr>
              <w:t xml:space="preserve">: In the context of L1/L2-centric inter-cell mobility, what are the implication(s)/benefit(s), if any, (from RAN4 perspective) of limiting </w:t>
            </w:r>
            <w:r>
              <w:rPr>
                <w:sz w:val="22"/>
                <w:szCs w:val="22"/>
                <w:lang w:val="en-US"/>
              </w:rPr>
              <w:t xml:space="preserve">the measurement for L1-RSRP </w:t>
            </w:r>
            <w:r>
              <w:rPr>
                <w:sz w:val="22"/>
                <w:szCs w:val="22"/>
              </w:rPr>
              <w:t xml:space="preserve">on measurement RS of a non-serving cell </w:t>
            </w:r>
            <w:r>
              <w:rPr>
                <w:sz w:val="22"/>
                <w:szCs w:val="22"/>
                <w:lang w:val="en-US"/>
              </w:rPr>
              <w:t xml:space="preserve">within the SMTC window(s) (only applicable to SSB) for the above agreed </w:t>
            </w:r>
            <w:r>
              <w:rPr>
                <w:sz w:val="22"/>
                <w:szCs w:val="22"/>
              </w:rPr>
              <w:t>L1-RSRP reporting</w:t>
            </w:r>
            <w:r>
              <w:rPr>
                <w:sz w:val="22"/>
                <w:szCs w:val="22"/>
                <w:lang w:val="en-US"/>
              </w:rPr>
              <w:t xml:space="preserve">? Conversely, what are the </w:t>
            </w:r>
            <w:r>
              <w:rPr>
                <w:sz w:val="22"/>
                <w:szCs w:val="22"/>
                <w:lang w:eastAsia="zh-CN"/>
              </w:rPr>
              <w:t xml:space="preserve">implication(s)/benefit(s), if any, of not limiting </w:t>
            </w:r>
            <w:r>
              <w:rPr>
                <w:sz w:val="22"/>
                <w:szCs w:val="22"/>
                <w:lang w:val="en-US"/>
              </w:rPr>
              <w:t>the measurement for L1-RSRP to be carried out within the SMTC window(s)?</w:t>
            </w:r>
          </w:p>
          <w:p>
            <w:pPr>
              <w:snapToGrid w:val="0"/>
              <w:jc w:val="both"/>
              <w:rPr>
                <w:rFonts w:hint="eastAsia" w:eastAsia="宋体"/>
                <w:sz w:val="22"/>
                <w:szCs w:val="22"/>
                <w:vertAlign w:val="baseline"/>
                <w:lang w:val="en-US" w:eastAsia="zh-CN"/>
              </w:rPr>
            </w:pPr>
            <w:r>
              <w:rPr>
                <w:sz w:val="22"/>
                <w:szCs w:val="22"/>
                <w:lang w:val="en-US"/>
              </w:rPr>
              <w:t xml:space="preserve"> </w:t>
            </w:r>
            <w:r>
              <w:rPr>
                <w:b/>
                <w:bCs/>
                <w:sz w:val="22"/>
                <w:szCs w:val="22"/>
                <w:lang w:eastAsia="zh-CN"/>
              </w:rPr>
              <w:t>Question 2</w:t>
            </w:r>
            <w:r>
              <w:rPr>
                <w:sz w:val="22"/>
                <w:szCs w:val="22"/>
                <w:lang w:eastAsia="zh-CN"/>
              </w:rPr>
              <w:t>: In the context of L1/L2-centric inter-cell mobility, for measurement</w:t>
            </w:r>
            <w:r>
              <w:rPr>
                <w:sz w:val="22"/>
                <w:szCs w:val="22"/>
                <w:lang w:val="en-US"/>
              </w:rPr>
              <w:t xml:space="preserve"> </w:t>
            </w:r>
            <w:r>
              <w:rPr>
                <w:sz w:val="22"/>
                <w:szCs w:val="22"/>
              </w:rPr>
              <w:t>on measurement RS of a non-serving cell, with the</w:t>
            </w:r>
            <w:r>
              <w:rPr>
                <w:sz w:val="22"/>
                <w:szCs w:val="22"/>
                <w:lang w:val="en-US"/>
              </w:rPr>
              <w:t xml:space="preserve"> above agreed </w:t>
            </w:r>
            <w:r>
              <w:rPr>
                <w:sz w:val="22"/>
                <w:szCs w:val="22"/>
              </w:rPr>
              <w:t>L1-RSRP reporting,</w:t>
            </w:r>
            <w:r>
              <w:rPr>
                <w:sz w:val="22"/>
                <w:szCs w:val="22"/>
                <w:lang w:eastAsia="zh-CN"/>
              </w:rPr>
              <w:t xml:space="preserve"> if the receive timing of the measurement RS from the non-serving cell can be different from the receive timing of the signals from the serving cell</w:t>
            </w:r>
            <w:r>
              <w:rPr>
                <w:sz w:val="22"/>
                <w:szCs w:val="22"/>
              </w:rPr>
              <w:t>, what are the implication(s)/benefit(s), if any, from RAN4 perspective?</w:t>
            </w:r>
          </w:p>
        </w:tc>
      </w:tr>
    </w:tbl>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options listed above in the LS and provide our view.</w:t>
      </w:r>
    </w:p>
    <w:p>
      <w:pPr>
        <w:pStyle w:val="28"/>
        <w:jc w:val="both"/>
        <w:rPr>
          <w:rFonts w:hint="default" w:eastAsia="宋体"/>
          <w:lang w:val="en-US" w:eastAsia="zh-CN"/>
        </w:rPr>
      </w:pPr>
      <w:r>
        <w:t>2</w:t>
      </w:r>
      <w:r>
        <w:tab/>
      </w:r>
      <w:r>
        <w:rPr>
          <w:rFonts w:hint="eastAsia"/>
          <w:lang w:val="en-US" w:eastAsia="zh-CN"/>
        </w:rPr>
        <w:t>Discussions</w:t>
      </w:r>
    </w:p>
    <w:p>
      <w:pPr>
        <w:rPr>
          <w:rFonts w:hint="eastAsia" w:eastAsia="宋体"/>
          <w:sz w:val="22"/>
          <w:szCs w:val="22"/>
          <w:lang w:val="en-US" w:eastAsia="zh-CN"/>
        </w:rPr>
      </w:pPr>
      <w:r>
        <w:rPr>
          <w:rFonts w:hint="eastAsia" w:eastAsia="宋体"/>
          <w:sz w:val="22"/>
          <w:szCs w:val="22"/>
          <w:lang w:val="en-US" w:eastAsia="zh-CN"/>
        </w:rPr>
        <w:t>We provide our views on one of the issues listed above.</w:t>
      </w:r>
    </w:p>
    <w:p>
      <w:pPr>
        <w:rPr>
          <w:rFonts w:hint="default" w:eastAsia="宋体"/>
          <w:sz w:val="22"/>
          <w:szCs w:val="22"/>
          <w:lang w:val="en-US" w:eastAsia="zh-CN"/>
        </w:rPr>
      </w:pPr>
      <w:r>
        <w:rPr>
          <w:b/>
          <w:bCs/>
          <w:sz w:val="22"/>
          <w:szCs w:val="22"/>
          <w:u w:val="single"/>
        </w:rPr>
        <w:t xml:space="preserve">The number of non-serving cell(s) for measurement/reporting </w:t>
      </w:r>
    </w:p>
    <w:p>
      <w:pPr>
        <w:rPr>
          <w:rFonts w:hint="default"/>
          <w:b w:val="0"/>
          <w:bCs/>
          <w:sz w:val="22"/>
          <w:szCs w:val="22"/>
          <w:lang w:val="en-US" w:eastAsia="zh-CN"/>
        </w:rPr>
      </w:pPr>
      <w:r>
        <w:rPr>
          <w:rFonts w:hint="eastAsia"/>
          <w:b w:val="0"/>
          <w:bCs/>
          <w:sz w:val="22"/>
          <w:szCs w:val="22"/>
          <w:lang w:val="en-US" w:eastAsia="zh-CN"/>
        </w:rPr>
        <w:t>From RAN4 perspective, we don</w:t>
      </w:r>
      <w:r>
        <w:rPr>
          <w:rFonts w:hint="default"/>
          <w:b w:val="0"/>
          <w:bCs/>
          <w:sz w:val="22"/>
          <w:szCs w:val="22"/>
          <w:lang w:val="en-US" w:eastAsia="zh-CN"/>
        </w:rPr>
        <w:t>’</w:t>
      </w:r>
      <w:r>
        <w:rPr>
          <w:rFonts w:hint="eastAsia"/>
          <w:b w:val="0"/>
          <w:bCs/>
          <w:sz w:val="22"/>
          <w:szCs w:val="22"/>
          <w:lang w:val="en-US" w:eastAsia="zh-CN"/>
        </w:rPr>
        <w:t>t see a strong motivation to limit this number to a very small value, since then the benefit of this entire feature gets limited as well. We can discuss this based on UE capability or try to agree on one value in RAN4. The gNB should have the measurement report from as many non-serving cells as possible since the gNB will make the decision to handover the UE to a new cell. Thus, the larger this number is, the more info regarding the channel quality of other non-serving cells the gNB can have, and better performance can be achieved. Thus, we think that the number shall be at least 4 to allow sufficient information on the network side.</w:t>
      </w:r>
    </w:p>
    <w:p>
      <w:pPr>
        <w:rPr>
          <w:rFonts w:hint="eastAsia"/>
          <w:b w:val="0"/>
          <w:bCs/>
          <w:sz w:val="22"/>
          <w:szCs w:val="22"/>
          <w:lang w:val="en-US" w:eastAsia="zh-CN"/>
        </w:rPr>
      </w:pPr>
      <w:r>
        <w:rPr>
          <w:rFonts w:hint="eastAsia" w:eastAsia="宋体"/>
          <w:b/>
          <w:bCs/>
          <w:sz w:val="22"/>
          <w:szCs w:val="22"/>
          <w:lang w:val="en-US" w:eastAsia="zh-CN"/>
        </w:rPr>
        <w:t xml:space="preserve">Observation 1: </w:t>
      </w:r>
      <w:r>
        <w:rPr>
          <w:rFonts w:hint="eastAsia"/>
          <w:b w:val="0"/>
          <w:bCs/>
          <w:sz w:val="22"/>
          <w:szCs w:val="22"/>
          <w:lang w:val="en-US" w:eastAsia="zh-CN"/>
        </w:rPr>
        <w:t>If the number of non-serving cell(s) for measurement/reporting is limited to a very small value, then the benefit of this entire feature gets limited as well.</w:t>
      </w:r>
    </w:p>
    <w:p>
      <w:pPr>
        <w:rPr>
          <w:rFonts w:hint="default"/>
          <w:b w:val="0"/>
          <w:bCs/>
          <w:sz w:val="22"/>
          <w:szCs w:val="22"/>
          <w:lang w:val="en-US" w:eastAsia="zh-CN"/>
        </w:rPr>
      </w:pPr>
      <w:r>
        <w:rPr>
          <w:rFonts w:hint="eastAsia"/>
          <w:b w:val="0"/>
          <w:bCs/>
          <w:sz w:val="22"/>
          <w:szCs w:val="22"/>
          <w:lang w:val="en-US" w:eastAsia="zh-CN"/>
        </w:rPr>
        <w:t>In several scenarios, such as UDN, the number of non-serving cells would be relatively large. Thus, to ensure even one beam for every non-serving cell, the number of non-serving cells for measurement and reporting shall be sufficient to provide enough enhancement. Otherwise the feature will have very limited impact.</w:t>
      </w:r>
    </w:p>
    <w:p>
      <w:pPr>
        <w:pStyle w:val="36"/>
        <w:rPr>
          <w:rFonts w:hint="default"/>
          <w:b w:val="0"/>
          <w:bCs/>
          <w:sz w:val="22"/>
          <w:szCs w:val="22"/>
          <w:lang w:val="en-US" w:eastAsia="zh-CN"/>
        </w:rPr>
      </w:pPr>
      <w:r>
        <w:rPr>
          <w:rFonts w:hint="eastAsia"/>
          <w:b/>
          <w:bCs w:val="0"/>
          <w:sz w:val="22"/>
          <w:szCs w:val="22"/>
          <w:lang w:val="en-US" w:eastAsia="zh-CN"/>
        </w:rPr>
        <w:t xml:space="preserve">The number of non-serving cell(s) for measurement/reporting should be at least 4. </w:t>
      </w:r>
    </w:p>
    <w:p>
      <w:pPr>
        <w:pStyle w:val="36"/>
        <w:rPr>
          <w:rFonts w:hint="default"/>
          <w:b w:val="0"/>
          <w:bCs/>
          <w:sz w:val="22"/>
          <w:szCs w:val="22"/>
          <w:lang w:val="en-US" w:eastAsia="zh-CN"/>
        </w:rPr>
      </w:pPr>
      <w:r>
        <w:rPr>
          <w:rFonts w:hint="eastAsia"/>
          <w:b/>
          <w:bCs w:val="0"/>
          <w:sz w:val="22"/>
          <w:szCs w:val="22"/>
          <w:lang w:val="en-US" w:eastAsia="zh-CN"/>
        </w:rPr>
        <w:t xml:space="preserve">Discuss whether or not to introduce a UE capability to indicate the supported number of non-serving cell(s) for measurement/reporting. </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eastAsia="宋体"/>
          <w:b/>
          <w:bCs/>
          <w:sz w:val="22"/>
          <w:szCs w:val="22"/>
          <w:lang w:val="en-US" w:eastAsia="zh-CN"/>
        </w:rPr>
        <w:t xml:space="preserve">Observation 1: </w:t>
      </w:r>
      <w:r>
        <w:rPr>
          <w:rFonts w:hint="eastAsia"/>
          <w:b w:val="0"/>
          <w:bCs/>
          <w:sz w:val="22"/>
          <w:szCs w:val="22"/>
          <w:lang w:val="en-US" w:eastAsia="zh-CN"/>
        </w:rPr>
        <w:t>If the number of non-serving cell(s) for measurement/reporting is limited to a very small value, then the benefit of this entire feature gets limited as well.</w:t>
      </w:r>
    </w:p>
    <w:p>
      <w:pPr>
        <w:rPr>
          <w:rFonts w:hint="eastAsia"/>
          <w:b/>
          <w:bCs w:val="0"/>
          <w:sz w:val="22"/>
          <w:szCs w:val="22"/>
          <w:lang w:val="en-US" w:eastAsia="zh-CN"/>
        </w:rPr>
      </w:pPr>
      <w:r>
        <w:rPr>
          <w:rFonts w:hint="eastAsia"/>
          <w:b/>
          <w:bCs w:val="0"/>
          <w:sz w:val="22"/>
          <w:szCs w:val="22"/>
          <w:lang w:val="en-US" w:eastAsia="zh-CN"/>
        </w:rPr>
        <w:t>Proposal 1: The number of non-serving cell(s) for measurement/reporting should be</w:t>
      </w:r>
      <w:bookmarkStart w:id="4" w:name="_GoBack"/>
      <w:bookmarkEnd w:id="4"/>
      <w:r>
        <w:rPr>
          <w:rFonts w:hint="eastAsia"/>
          <w:b/>
          <w:bCs w:val="0"/>
          <w:sz w:val="22"/>
          <w:szCs w:val="22"/>
          <w:lang w:val="en-US" w:eastAsia="zh-CN"/>
        </w:rPr>
        <w:t xml:space="preserve"> at least 4.</w:t>
      </w:r>
    </w:p>
    <w:p>
      <w:pPr>
        <w:rPr>
          <w:rFonts w:hint="eastAsia"/>
          <w:b/>
          <w:bCs w:val="0"/>
          <w:sz w:val="22"/>
          <w:szCs w:val="22"/>
          <w:lang w:val="en-US" w:eastAsia="zh-CN"/>
        </w:rPr>
      </w:pPr>
      <w:r>
        <w:rPr>
          <w:rFonts w:hint="eastAsia"/>
          <w:b/>
          <w:bCs w:val="0"/>
          <w:sz w:val="22"/>
          <w:szCs w:val="22"/>
          <w:lang w:val="en-US" w:eastAsia="zh-CN"/>
        </w:rPr>
        <w:t>Proposal 2: Discuss whether or not to introduce a UE capability to indicate the supported number of non-serving cell(s) for measurement/reporting.</w:t>
      </w:r>
    </w:p>
    <w:p>
      <w:pPr>
        <w:pStyle w:val="28"/>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b w:val="0"/>
          <w:bCs w:val="0"/>
          <w:sz w:val="22"/>
          <w:szCs w:val="22"/>
          <w:lang w:val="en-US" w:eastAsia="zh-CN"/>
        </w:rPr>
      </w:pPr>
      <w:r>
        <w:rPr>
          <w:rFonts w:ascii="Arial" w:hAnsi="Arial" w:eastAsia="Batang" w:cs="Arial"/>
          <w:b w:val="0"/>
          <w:bCs w:val="0"/>
          <w:sz w:val="22"/>
          <w:szCs w:val="22"/>
        </w:rPr>
        <w:t>R1-2104142</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361B6AE8"/>
    <w:multiLevelType w:val="multilevel"/>
    <w:tmpl w:val="361B6A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40613F0"/>
    <w:multiLevelType w:val="multilevel"/>
    <w:tmpl w:val="64061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8">
    <w:nsid w:val="77B6426D"/>
    <w:multiLevelType w:val="multilevel"/>
    <w:tmpl w:val="77B6426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3"/>
  </w:num>
  <w:num w:numId="4">
    <w:abstractNumId w:val="7"/>
  </w:num>
  <w:num w:numId="5">
    <w:abstractNumId w:val="5"/>
  </w:num>
  <w:num w:numId="6">
    <w:abstractNumId w:val="8"/>
  </w:num>
  <w:num w:numId="7">
    <w:abstractNumId w:val="6"/>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A402B48"/>
    <w:rsid w:val="1B3329B5"/>
    <w:rsid w:val="1B595D85"/>
    <w:rsid w:val="1B7F155B"/>
    <w:rsid w:val="1BAE2A00"/>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2143C"/>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A5792D"/>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4C2019"/>
    <w:rsid w:val="3C6E3AF7"/>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9C61D6"/>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707264"/>
    <w:rsid w:val="5090049B"/>
    <w:rsid w:val="509778C7"/>
    <w:rsid w:val="50DB4BE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2D2C7C"/>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9C4A24"/>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892276"/>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7">
    <w:name w:val="annotation text"/>
    <w:basedOn w:val="1"/>
    <w:link w:val="58"/>
    <w:semiHidden/>
    <w:unhideWhenUsed/>
    <w:qFormat/>
    <w:uiPriority w:val="99"/>
    <w:pPr>
      <w:spacing w:line="240" w:lineRule="auto"/>
    </w:pPr>
    <w:rPr>
      <w:szCs w:val="20"/>
    </w:rPr>
  </w:style>
  <w:style w:type="paragraph" w:styleId="8">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2">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6"/>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6"/>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8"/>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2"/>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1"/>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7"/>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8"/>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08DA32A5-C37F-4DB0-94C0-5301A1F35695}">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2021-05-10T12:05:06Z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